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80"/>
        <w:jc w:val="center"/>
      </w:pPr>
      <w:r>
        <w:rPr>
          <w:rFonts w:ascii="Arial" w:hAnsi="Arial"/>
          <w:b/>
          <w:color w:val="1F4E79"/>
          <w:sz w:val="36"/>
        </w:rPr>
        <w:t>SRAI</w:t>
      </w:r>
    </w:p>
    <w:p>
      <w:pPr>
        <w:pStyle w:val="Title"/>
        <w:jc w:val="center"/>
      </w:pPr>
      <w:r>
        <w:t>SRAI Executive AI Decision Gate</w:t>
      </w:r>
    </w:p>
    <w:p>
      <w:pPr>
        <w:pStyle w:val="Subtitle"/>
        <w:jc w:val="center"/>
      </w:pPr>
      <w:r>
        <w:t>Writable decision instrument • Executive Module 1</w:t>
      </w:r>
    </w:p>
    <w:p>
      <w:pPr>
        <w:spacing w:before="400"/>
        <w:jc w:val="center"/>
      </w:pPr>
      <w:r>
        <w:rPr>
          <w:b/>
          <w:color w:val="D6A84B"/>
          <w:sz w:val="20"/>
        </w:rPr>
        <w:t>EP-M01-A10  •  VERSION 0.1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208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6768"/>
            <w:shd w:fill="EAF2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Offline development draft</w:t>
            </w:r>
          </w:p>
        </w:tc>
      </w:tr>
      <w:tr>
        <w:tc>
          <w:tcPr>
            <w:tcW w:type="dxa" w:w="208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Authority</w:t>
            </w:r>
          </w:p>
        </w:tc>
        <w:tc>
          <w:tcPr>
            <w:tcW w:type="dxa" w:w="6768"/>
            <w:shd w:fill="EAF2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Gates G0–G3 only</w:t>
            </w:r>
          </w:p>
        </w:tc>
      </w:tr>
      <w:tr>
        <w:tc>
          <w:tcPr>
            <w:tcW w:type="dxa" w:w="208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Publication</w:t>
            </w:r>
          </w:p>
        </w:tc>
        <w:tc>
          <w:tcPr>
            <w:tcW w:type="dxa" w:w="6768"/>
            <w:shd w:fill="EAF2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Not authorized</w:t>
            </w:r>
          </w:p>
        </w:tc>
      </w:tr>
      <w:tr>
        <w:tc>
          <w:tcPr>
            <w:tcW w:type="dxa" w:w="208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Integration</w:t>
            </w:r>
          </w:p>
        </w:tc>
        <w:tc>
          <w:tcPr>
            <w:tcW w:type="dxa" w:w="6768"/>
            <w:shd w:fill="EAF2F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Not authorized</w:t>
            </w:r>
          </w:p>
        </w:tc>
      </w:tr>
    </w:tbl>
    <w:p>
      <w:pPr>
        <w:pStyle w:val="Callout"/>
      </w:pPr>
      <w:r>
        <w:t>Control notice: This document is a production draft. It does not change the website, SRAI Studio, repositories, databases, or any canonical release.</w:t>
      </w:r>
    </w:p>
    <w:p>
      <w:r>
        <w:br w:type="page"/>
      </w:r>
    </w:p>
    <w:p>
      <w:pPr>
        <w:pStyle w:val="Heading1"/>
      </w:pPr>
      <w:r>
        <w:t>How to use this instrument</w:t>
      </w:r>
    </w:p>
    <w:p>
      <w:r>
        <w:t>Complete the Gate before authorizing an AI proposal. Record evidence, uncertainty and ownership—not merely conclusions. Use Green, Amber, Red or Unknown for each domain. Unknown is not neutral: where a critical matter is unknown, PROCEED is blocked.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44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468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Meaning</w:t>
            </w:r>
          </w:p>
        </w:tc>
        <w:tc>
          <w:tcPr>
            <w:tcW w:type="dxa" w:w="403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Decision implication</w:t>
            </w:r>
          </w:p>
        </w:tc>
      </w:tr>
      <w:tr>
        <w:trPr>
          <w:cantSplit/>
        </w:trP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GREEN</w:t>
            </w:r>
          </w:p>
        </w:tc>
        <w:tc>
          <w:tcPr>
            <w:tcW w:type="dxa" w:w="46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Evidence and controls are adequate for the proposed scope.</w:t>
            </w:r>
          </w:p>
        </w:tc>
        <w:tc>
          <w:tcPr>
            <w:tcW w:type="dxa" w:w="40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May support PROCEED.</w:t>
            </w:r>
          </w:p>
        </w:tc>
      </w:tr>
      <w:tr>
        <w:trPr>
          <w:cantSplit/>
        </w:trP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AMBER</w:t>
            </w:r>
          </w:p>
        </w:tc>
        <w:tc>
          <w:tcPr>
            <w:tcW w:type="dxa" w:w="46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A material but remediable gap exists.</w:t>
            </w:r>
          </w:p>
        </w:tc>
        <w:tc>
          <w:tcPr>
            <w:tcW w:type="dxa" w:w="40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Normally REVISE; condition and assign.</w:t>
            </w:r>
          </w:p>
        </w:tc>
      </w:tr>
      <w:tr>
        <w:trPr>
          <w:cantSplit/>
        </w:trP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RED</w:t>
            </w:r>
          </w:p>
        </w:tc>
        <w:tc>
          <w:tcPr>
            <w:tcW w:type="dxa" w:w="46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An unacceptable or non-remediable exposure exists.</w:t>
            </w:r>
          </w:p>
        </w:tc>
        <w:tc>
          <w:tcPr>
            <w:tcW w:type="dxa" w:w="40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STOP or redesign fundamentally.</w:t>
            </w:r>
          </w:p>
        </w:tc>
      </w:tr>
      <w:tr>
        <w:trPr>
          <w:cantSplit/>
        </w:trP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UNKNOWN</w:t>
            </w:r>
          </w:p>
        </w:tc>
        <w:tc>
          <w:tcPr>
            <w:tcW w:type="dxa" w:w="46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Evidence is absent, inaccessible or not credible.</w:t>
            </w:r>
          </w:p>
        </w:tc>
        <w:tc>
          <w:tcPr>
            <w:tcW w:type="dxa" w:w="403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Treat as a gap; critical unknowns block PROCEED.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rPr>
          <w:cantSplit/>
        </w:trPr>
        <w:tc>
          <w:tcPr>
            <w:tcW w:type="dxa" w:w="9994"/>
            <w:shd w:fill="17365D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keepNext/>
            </w:pPr>
            <w:r>
              <w:rPr>
                <w:b/>
                <w:color w:val="FFFFFF"/>
              </w:rPr>
              <w:t>CRITICAL BLOCKERS</w:t>
            </w:r>
          </w:p>
        </w:tc>
      </w:tr>
      <w:tr>
        <w:trPr>
          <w:cantSplit/>
        </w:trPr>
        <w:tc>
          <w:tcPr>
            <w:tcW w:type="dxa" w:w="9994"/>
            <w:shd w:fill="F4CCCC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A RED or UNKNOWN finding in authority or lawful basis, accountable ownership, affected-population harm, data legality, security, ability to monitor, or ability to suspend and correct means the proposal cannot PROCEED.</w:t>
            </w:r>
          </w:p>
        </w:tc>
      </w:tr>
    </w:tbl>
    <w:p>
      <w:pPr>
        <w:pStyle w:val="Heading1"/>
      </w:pPr>
      <w:r>
        <w:t>Decision file identification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324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Field</w:t>
            </w:r>
          </w:p>
        </w:tc>
        <w:tc>
          <w:tcPr>
            <w:tcW w:type="dxa" w:w="691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  <w:t>Proposal title</w:t>
            </w:r>
          </w:p>
        </w:tc>
        <w:tc>
          <w:tcPr>
            <w:tcW w:type="dxa" w:w="69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6"/>
              </w:rPr>
              <w:t>Institution / business unit</w:t>
            </w:r>
          </w:p>
        </w:tc>
        <w:tc>
          <w:tcPr>
            <w:tcW w:type="dxa" w:w="69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  <w:t>Decision authority</w:t>
            </w:r>
          </w:p>
        </w:tc>
        <w:tc>
          <w:tcPr>
            <w:tcW w:type="dxa" w:w="69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6"/>
              </w:rPr>
              <w:t>Accountable owner</w:t>
            </w:r>
          </w:p>
        </w:tc>
        <w:tc>
          <w:tcPr>
            <w:tcW w:type="dxa" w:w="69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  <w:t>Prepared by</w:t>
            </w:r>
          </w:p>
        </w:tc>
        <w:tc>
          <w:tcPr>
            <w:tcW w:type="dxa" w:w="69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6"/>
              </w:rPr>
              <w:t>Gate version and date</w:t>
            </w:r>
          </w:p>
        </w:tc>
        <w:tc>
          <w:tcPr>
            <w:tcW w:type="dxa" w:w="69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6"/>
              </w:rPr>
            </w:r>
          </w:p>
        </w:tc>
      </w:tr>
      <w:tr>
        <w:trPr>
          <w:cantSplit/>
        </w:trPr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  <w:t>Review date</w:t>
            </w:r>
          </w:p>
        </w:tc>
        <w:tc>
          <w:tcPr>
            <w:tcW w:type="dxa" w:w="69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Part A — Executive decision summary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584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Decision</w:t>
            </w:r>
          </w:p>
        </w:tc>
        <w:tc>
          <w:tcPr>
            <w:tcW w:type="dxa" w:w="151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Select one</w:t>
            </w:r>
          </w:p>
        </w:tc>
        <w:tc>
          <w:tcPr>
            <w:tcW w:type="dxa" w:w="705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Meaning</w:t>
            </w:r>
          </w:p>
        </w:tc>
      </w:tr>
      <w:tr>
        <w:trPr>
          <w:cantSplit/>
        </w:trPr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  <w:t>PROCEED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  <w:t>Authorize only within recorded scope and conditions.</w:t>
            </w:r>
          </w:p>
        </w:tc>
      </w:tr>
      <w:tr>
        <w:trPr>
          <w:cantSplit/>
        </w:trPr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6"/>
              </w:rPr>
              <w:t>REVISE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6"/>
              </w:rPr>
              <w:t>Do not authorize; remedy specified gaps and return to the Gate.</w:t>
            </w:r>
          </w:p>
        </w:tc>
      </w:tr>
      <w:tr>
        <w:trPr>
          <w:cantSplit/>
        </w:trPr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  <w:t>STOP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  <w:t>☐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6"/>
              </w:rPr>
              <w:t>Do not advance; record the decisive reasons and protected interests.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Decision in one sentence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Three decisive reasons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Conditions, scope limitations and exclusions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81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Mandatory control</w:t>
            </w:r>
          </w:p>
        </w:tc>
        <w:tc>
          <w:tcPr>
            <w:tcW w:type="dxa" w:w="309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Named owner</w:t>
            </w:r>
          </w:p>
        </w:tc>
        <w:tc>
          <w:tcPr>
            <w:tcW w:type="dxa" w:w="324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Date / threshold</w:t>
            </w:r>
          </w:p>
        </w:tc>
      </w:tr>
      <w:tr>
        <w:trPr>
          <w:cantSplit/>
        </w:trPr>
        <w:tc>
          <w:tcPr>
            <w:tcW w:type="dxa" w:w="381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Next review</w:t>
            </w:r>
          </w:p>
        </w:tc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381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Success metric and target</w:t>
            </w:r>
          </w:p>
        </w:tc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381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Escalation trigger</w:t>
            </w:r>
          </w:p>
        </w:tc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381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Stopping rule</w:t>
            </w:r>
          </w:p>
        </w:tc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381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Appeal / correction route</w:t>
            </w:r>
          </w:p>
        </w:tc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381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Retirement / exit owner</w:t>
            </w:r>
          </w:p>
        </w:tc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Material uncertainty accepted by the decision authority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p>
      <w:pPr>
        <w:pStyle w:val="Callout"/>
      </w:pPr>
      <w:r>
        <w:t>Decision authority signature: ______________________________    Date: __________________</w:t>
      </w:r>
    </w:p>
    <w:p>
      <w:pPr>
        <w:pStyle w:val="Heading1"/>
        <w:pageBreakBefore/>
      </w:pPr>
      <w:r>
        <w:t>1. Problem and authority</w:t>
      </w:r>
    </w:p>
    <w:p>
      <w:pPr>
        <w:pStyle w:val="Callout"/>
      </w:pPr>
      <w:r>
        <w:t>Establish the problem before evaluating the proposed technology.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309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Required question</w:t>
            </w:r>
          </w:p>
        </w:tc>
        <w:tc>
          <w:tcPr>
            <w:tcW w:type="dxa" w:w="352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Evidence / finding</w:t>
            </w:r>
          </w:p>
        </w:tc>
        <w:tc>
          <w:tcPr>
            <w:tcW w:type="dxa" w:w="100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52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Owner / action / date</w:t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measurable problem is being addressed?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Who is affected, including groups at risk of exclusion?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Who benefits, and how?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Who will use the output and take action?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Who has authority to approve, constrain and stop?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is the baseline and consequence of inaction?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legal or policy mandate applies?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Domain conclusion and implications for the decision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p>
      <w:pPr>
        <w:pStyle w:val="Heading1"/>
        <w:pageBreakBefore/>
      </w:pPr>
      <w:r>
        <w:t>2. Options and AI necessity</w:t>
      </w:r>
    </w:p>
    <w:p>
      <w:pPr>
        <w:pStyle w:val="Callout"/>
      </w:pPr>
      <w:r>
        <w:t>Compare the proposal with credible alternatives and the status quo.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309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Required question</w:t>
            </w:r>
          </w:p>
        </w:tc>
        <w:tc>
          <w:tcPr>
            <w:tcW w:type="dxa" w:w="352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Evidence / finding</w:t>
            </w:r>
          </w:p>
        </w:tc>
        <w:tc>
          <w:tcPr>
            <w:tcW w:type="dxa" w:w="100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52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Owner / action / date</w:t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exactly will the AI system do?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decision or workflow will its output change?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process-redesign option was examined?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rules-based or conventional-analytics option was examined?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staffing, training or information option was examined?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does the status quo cost or harm?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Why is AI proportionate and comparatively superior?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opportunity cost follows from choosing it?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Domain conclusion and implications for the decision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p>
      <w:pPr>
        <w:pStyle w:val="Heading1"/>
        <w:pageBreakBefore/>
      </w:pPr>
      <w:r>
        <w:t>3. Evidence</w:t>
      </w:r>
    </w:p>
    <w:p>
      <w:pPr>
        <w:pStyle w:val="Callout"/>
      </w:pPr>
      <w:r>
        <w:t>Test whether each material claim is supported in the relevant population and setting.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309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Required question</w:t>
            </w:r>
          </w:p>
        </w:tc>
        <w:tc>
          <w:tcPr>
            <w:tcW w:type="dxa" w:w="352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Evidence / finding</w:t>
            </w:r>
          </w:p>
        </w:tc>
        <w:tc>
          <w:tcPr>
            <w:tcW w:type="dxa" w:w="100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52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Owner / action / date</w:t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material claims support adoption?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Who produced each source, using which data?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baseline or comparator was used?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Does evidence cover affected groups and edge cases?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Was performance validated under intended conditions?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uncertainty or sensitivity remains?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Which evidence is vendor-produced?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evidence is missing, and can it feasibly be obtained?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Domain conclusion and implications for the decision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p>
      <w:pPr>
        <w:pStyle w:val="Heading2"/>
      </w:pPr>
      <w:r>
        <w:t>Evidence claim register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1944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Claim</w:t>
            </w:r>
          </w:p>
        </w:tc>
        <w:tc>
          <w:tcPr>
            <w:tcW w:type="dxa" w:w="252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Source / provenance</w:t>
            </w:r>
          </w:p>
        </w:tc>
        <w:tc>
          <w:tcPr>
            <w:tcW w:type="dxa" w:w="2304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Population &amp; setting</w:t>
            </w:r>
          </w:p>
        </w:tc>
        <w:tc>
          <w:tcPr>
            <w:tcW w:type="dxa" w:w="252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Uncertainty / limitation</w:t>
            </w:r>
          </w:p>
        </w:tc>
        <w:tc>
          <w:tcPr>
            <w:tcW w:type="dxa" w:w="864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Confidence</w:t>
            </w:r>
          </w:p>
        </w:tc>
      </w:tr>
      <w:tr>
        <w:trPr>
          <w:cantSplit/>
        </w:trP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86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2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86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86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2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86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30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86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</w:tr>
    </w:tbl>
    <w:p>
      <w:pPr>
        <w:pStyle w:val="Heading2"/>
      </w:pPr>
      <w:r>
        <w:t>Confidence rubric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144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Confidence</w:t>
            </w:r>
          </w:p>
        </w:tc>
        <w:tc>
          <w:tcPr>
            <w:tcW w:type="dxa" w:w="871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Minimum interpretation</w:t>
            </w:r>
          </w:p>
        </w:tc>
      </w:tr>
      <w:tr>
        <w:trPr>
          <w:cantSplit/>
        </w:trP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HIGH</w:t>
            </w:r>
          </w:p>
        </w:tc>
        <w:tc>
          <w:tcPr>
            <w:tcW w:type="dxa" w:w="87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Relevant independent or well-governed evidence under comparable operating conditions; important limits understood.</w:t>
            </w:r>
          </w:p>
        </w:tc>
      </w:tr>
      <w:tr>
        <w:trPr>
          <w:cantSplit/>
        </w:trP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MEDIUM</w:t>
            </w:r>
          </w:p>
        </w:tc>
        <w:tc>
          <w:tcPr>
            <w:tcW w:type="dxa" w:w="87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Useful evidence with identifiable transfer, comparator or validation limits.</w:t>
            </w:r>
          </w:p>
        </w:tc>
      </w:tr>
      <w:tr>
        <w:trPr>
          <w:cantSplit/>
        </w:trP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LOW</w:t>
            </w:r>
          </w:p>
        </w:tc>
        <w:tc>
          <w:tcPr>
            <w:tcW w:type="dxa" w:w="87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Assertion, demonstration, weak comparator, narrow test or material conflicts of interest.</w:t>
            </w:r>
          </w:p>
        </w:tc>
      </w:tr>
      <w:tr>
        <w:trPr>
          <w:cantSplit/>
        </w:trPr>
        <w:tc>
          <w:tcPr>
            <w:tcW w:type="dxa" w:w="14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UNKNOWN</w:t>
            </w:r>
          </w:p>
        </w:tc>
        <w:tc>
          <w:tcPr>
            <w:tcW w:type="dxa" w:w="871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No accessible or credible evidence for the claim.</w:t>
            </w:r>
          </w:p>
        </w:tc>
      </w:tr>
    </w:tbl>
    <w:p>
      <w:pPr>
        <w:pStyle w:val="Heading1"/>
        <w:pageBreakBefore/>
      </w:pPr>
      <w:r>
        <w:t>4. Value and beneficiaries</w:t>
      </w:r>
    </w:p>
    <w:p>
      <w:pPr>
        <w:pStyle w:val="Callout"/>
      </w:pPr>
      <w:r>
        <w:t>Define real-world benefit against a credible alternative—not deployment activity.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309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Required question</w:t>
            </w:r>
          </w:p>
        </w:tc>
        <w:tc>
          <w:tcPr>
            <w:tcW w:type="dxa" w:w="352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Evidence / finding</w:t>
            </w:r>
          </w:p>
        </w:tc>
        <w:tc>
          <w:tcPr>
            <w:tcW w:type="dxa" w:w="100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52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Owner / action / date</w:t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public or organizational outcome should improve?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Who receives the benefit?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is the baseline or counterfactual?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metric, target and timeframe define success?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total lifecycle cost is expected?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How are benefits and burdens distributed?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would show that expected value did not materialize?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Domain conclusion and implications for the decision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p>
      <w:pPr>
        <w:pStyle w:val="Heading1"/>
        <w:pageBreakBefore/>
      </w:pPr>
      <w:r>
        <w:t>5. Risk, harm and reversibility</w:t>
      </w:r>
    </w:p>
    <w:p>
      <w:pPr>
        <w:pStyle w:val="Callout"/>
      </w:pPr>
      <w:r>
        <w:t>Make failure pathways and consequences visible before authorization.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309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Required question</w:t>
            </w:r>
          </w:p>
        </w:tc>
        <w:tc>
          <w:tcPr>
            <w:tcW w:type="dxa" w:w="352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Evidence / finding</w:t>
            </w:r>
          </w:p>
        </w:tc>
        <w:tc>
          <w:tcPr>
            <w:tcW w:type="dxa" w:w="100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52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Owner / action / date</w:t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are the principal data, model and workflow failures?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follow from false positives, false negatives or omissions?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Which groups may experience concentrated error or burden?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Can consequences be corrected and people restored?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What privacy and security exposure exists?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supplier, model or platform dependency exists?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How can staff challenge or override outputs?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preventive, detective, response and recovery safeguards exist?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Domain conclusion and implications for the decision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p>
      <w:pPr>
        <w:pStyle w:val="Heading2"/>
      </w:pPr>
      <w:r>
        <w:t>Priority risk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tblHeader w:val="true"/>
        </w:trPr>
        <w:tc>
          <w:tcPr>
            <w:tcW w:type="dxa" w:w="1944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Failure / harm</w:t>
            </w:r>
          </w:p>
        </w:tc>
        <w:tc>
          <w:tcPr>
            <w:tcW w:type="dxa" w:w="180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Affected group</w:t>
            </w:r>
          </w:p>
        </w:tc>
        <w:tc>
          <w:tcPr>
            <w:tcW w:type="dxa" w:w="108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Likelihood</w:t>
            </w:r>
          </w:p>
        </w:tc>
        <w:tc>
          <w:tcPr>
            <w:tcW w:type="dxa" w:w="100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Impact</w:t>
            </w:r>
          </w:p>
        </w:tc>
        <w:tc>
          <w:tcPr>
            <w:tcW w:type="dxa" w:w="108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Reversible?</w:t>
            </w:r>
          </w:p>
        </w:tc>
        <w:tc>
          <w:tcPr>
            <w:tcW w:type="dxa" w:w="324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Safeguard / owner</w:t>
            </w:r>
          </w:p>
        </w:tc>
      </w:tr>
      <w:tr>
        <w:trPr>
          <w:cantSplit/>
        </w:trP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0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0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0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0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0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0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0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0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32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</w:tr>
    </w:tbl>
    <w:p>
      <w:pPr>
        <w:pStyle w:val="Heading1"/>
        <w:pageBreakBefore/>
      </w:pPr>
      <w:r>
        <w:t>6. Institutional readiness</w:t>
      </w:r>
    </w:p>
    <w:p>
      <w:pPr>
        <w:pStyle w:val="Callout"/>
      </w:pPr>
      <w:r>
        <w:t>Rate each domain independently. Do not average away a critical blocker.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72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Domain</w:t>
            </w:r>
          </w:p>
        </w:tc>
        <w:tc>
          <w:tcPr>
            <w:tcW w:type="dxa" w:w="453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Evidence required</w:t>
            </w:r>
          </w:p>
        </w:tc>
        <w:tc>
          <w:tcPr>
            <w:tcW w:type="dxa" w:w="100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88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Gap / owner / date</w:t>
            </w:r>
          </w:p>
        </w:tc>
      </w:tr>
      <w:tr>
        <w:trPr>
          <w:cantSplit/>
        </w:trP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Governance</w:t>
            </w:r>
          </w:p>
        </w:tc>
        <w:tc>
          <w:tcPr>
            <w:tcW w:type="dxa" w:w="45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Authority, accountability, escalation and review.</w:t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Data</w:t>
            </w:r>
          </w:p>
        </w:tc>
        <w:tc>
          <w:tcPr>
            <w:tcW w:type="dxa" w:w="45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Access, quality, lineage, representativeness and lawful use.</w:t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Infrastructure</w:t>
            </w:r>
          </w:p>
        </w:tc>
        <w:tc>
          <w:tcPr>
            <w:tcW w:type="dxa" w:w="45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Security, reliability, integration, continuity and scale.</w:t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Skills</w:t>
            </w:r>
          </w:p>
        </w:tc>
        <w:tc>
          <w:tcPr>
            <w:tcW w:type="dxa" w:w="45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Operational use, challenge, monitoring and maintenance.</w:t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Investment</w:t>
            </w:r>
          </w:p>
        </w:tc>
        <w:tc>
          <w:tcPr>
            <w:tcW w:type="dxa" w:w="45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Lifecycle cost, contingency and opportunity cost.</w:t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Procurement</w:t>
            </w:r>
          </w:p>
        </w:tc>
        <w:tc>
          <w:tcPr>
            <w:tcW w:type="dxa" w:w="45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Transparency, audit, remedies, portability and exit.</w:t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Partnerships</w:t>
            </w:r>
          </w:p>
        </w:tc>
        <w:tc>
          <w:tcPr>
            <w:tcW w:type="dxa" w:w="45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External dependencies, roles and enforceable obligations.</w:t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Legal and rights</w:t>
            </w:r>
          </w:p>
        </w:tc>
        <w:tc>
          <w:tcPr>
            <w:tcW w:type="dxa" w:w="45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Lawfulness, duties, contestability and remedy.</w:t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Operations</w:t>
            </w:r>
          </w:p>
        </w:tc>
        <w:tc>
          <w:tcPr>
            <w:tcW w:type="dxa" w:w="453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Workflow, workload, incidents, fallback and service continuity.</w:t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Readiness conclusion: identify every critical blocker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p>
      <w:pPr>
        <w:pStyle w:val="Heading1"/>
        <w:pageBreakBefore/>
      </w:pPr>
      <w:r>
        <w:t>7. Accountability, monitoring and exit</w:t>
      </w:r>
    </w:p>
    <w:p>
      <w:pPr>
        <w:pStyle w:val="Callout"/>
      </w:pPr>
      <w:r>
        <w:t>Name the people and controls that remain after approval.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309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Required question</w:t>
            </w:r>
          </w:p>
        </w:tc>
        <w:tc>
          <w:tcPr>
            <w:tcW w:type="dxa" w:w="352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Evidence / finding</w:t>
            </w:r>
          </w:p>
        </w:tc>
        <w:tc>
          <w:tcPr>
            <w:tcW w:type="dxa" w:w="100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52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4"/>
              </w:rPr>
              <w:t>Owner / action / date</w:t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Who approves the decision and accepts residual exposure?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Who is accountable for outcomes?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Who monitors benefit, error, drift, burden and incidents?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Who provides independent challenge or review?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Who receives complaints and ensures correction or appeal?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Who can restrict or suspend operation?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  <w:t>Who owns supplier exit, data return and retirement?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4"/>
              </w:rPr>
            </w:r>
          </w:p>
        </w:tc>
      </w:tr>
      <w:tr>
        <w:trPr>
          <w:cantSplit/>
        </w:trPr>
        <w:tc>
          <w:tcPr>
            <w:tcW w:type="dxa" w:w="309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  <w:t>What records enable audit and later review?</w:t>
            </w:r>
          </w:p>
        </w:tc>
        <w:tc>
          <w:tcPr>
            <w:tcW w:type="dxa" w:w="35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4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Domain conclusion and implications for the decision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p>
      <w:pPr>
        <w:pStyle w:val="Heading2"/>
      </w:pPr>
      <w:r>
        <w:t>Monitoring and stopping schedule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tblHeader w:val="true"/>
        </w:trPr>
        <w:tc>
          <w:tcPr>
            <w:tcW w:type="dxa" w:w="187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Indicator / event</w:t>
            </w:r>
          </w:p>
        </w:tc>
        <w:tc>
          <w:tcPr>
            <w:tcW w:type="dxa" w:w="115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Baseline</w:t>
            </w:r>
          </w:p>
        </w:tc>
        <w:tc>
          <w:tcPr>
            <w:tcW w:type="dxa" w:w="187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Target / threshold</w:t>
            </w:r>
          </w:p>
        </w:tc>
        <w:tc>
          <w:tcPr>
            <w:tcW w:type="dxa" w:w="115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Frequency</w:t>
            </w:r>
          </w:p>
        </w:tc>
        <w:tc>
          <w:tcPr>
            <w:tcW w:type="dxa" w:w="1584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Owner</w:t>
            </w:r>
          </w:p>
        </w:tc>
        <w:tc>
          <w:tcPr>
            <w:tcW w:type="dxa" w:w="252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Action if breached</w:t>
            </w:r>
          </w:p>
        </w:tc>
      </w:tr>
      <w:tr>
        <w:trPr>
          <w:cantSplit/>
        </w:trPr>
        <w:tc>
          <w:tcPr>
            <w:tcW w:type="dxa" w:w="187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87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7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87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7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87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187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87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25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</w:tr>
    </w:tbl>
    <w:p>
      <w:pPr>
        <w:pStyle w:val="Heading1"/>
        <w:pageBreakBefore/>
      </w:pPr>
      <w:r>
        <w:t>8. Decision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88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Domain</w:t>
            </w:r>
          </w:p>
        </w:tc>
        <w:tc>
          <w:tcPr>
            <w:tcW w:type="dxa" w:w="115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612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Decisive evidence or unresolved gap</w:t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Problem and authority</w:t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  <w:tc>
          <w:tcPr>
            <w:tcW w:type="dxa" w:w="61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Options and necessity</w:t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  <w:tc>
          <w:tcPr>
            <w:tcW w:type="dxa" w:w="61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Evidence</w:t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  <w:tc>
          <w:tcPr>
            <w:tcW w:type="dxa" w:w="61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Value</w:t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  <w:tc>
          <w:tcPr>
            <w:tcW w:type="dxa" w:w="61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Risk and harm</w:t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  <w:tc>
          <w:tcPr>
            <w:tcW w:type="dxa" w:w="61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  <w:t>Readiness</w:t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  <w:tc>
          <w:tcPr>
            <w:tcW w:type="dxa" w:w="61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5"/>
              </w:rPr>
            </w:r>
          </w:p>
        </w:tc>
      </w:tr>
      <w:tr>
        <w:trPr>
          <w:cantSplit/>
        </w:trP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Accountability and exit</w:t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  <w:tc>
          <w:tcPr>
            <w:tcW w:type="dxa" w:w="612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rPr>
          <w:cantSplit/>
        </w:trPr>
        <w:tc>
          <w:tcPr>
            <w:tcW w:type="dxa" w:w="9994"/>
            <w:shd w:fill="17365D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pPr>
              <w:keepNext/>
            </w:pPr>
            <w:r>
              <w:rPr>
                <w:b/>
                <w:color w:val="FFFFFF"/>
              </w:rPr>
              <w:t>DECISION LOGIC</w:t>
            </w:r>
          </w:p>
        </w:tc>
      </w:tr>
      <w:tr>
        <w:trPr>
          <w:cantSplit/>
        </w:trPr>
        <w:tc>
          <w:tcPr>
            <w:tcW w:type="dxa" w:w="9994"/>
            <w:shd w:fill="D9EAF7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t>PROCEED only when value is credible, critical controls pass, and residual uncertainty is bounded. REVISE when material gaps are remediable. STOP when the proposal is unauthorized, non-beneficial, comparatively inferior, unlawful, unacceptably harmful or not governable.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Final decision and rationale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p>
      <w:pPr>
        <w:pStyle w:val="Heading2"/>
      </w:pPr>
      <w:r>
        <w:t>Conditions register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345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Condition / evidence required</w:t>
            </w:r>
          </w:p>
        </w:tc>
        <w:tc>
          <w:tcPr>
            <w:tcW w:type="dxa" w:w="180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Owner</w:t>
            </w:r>
          </w:p>
        </w:tc>
        <w:tc>
          <w:tcPr>
            <w:tcW w:type="dxa" w:w="115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Due date</w:t>
            </w:r>
          </w:p>
        </w:tc>
        <w:tc>
          <w:tcPr>
            <w:tcW w:type="dxa" w:w="259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Acceptance test</w:t>
            </w:r>
          </w:p>
        </w:tc>
        <w:tc>
          <w:tcPr>
            <w:tcW w:type="dxa" w:w="1152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3"/>
              </w:rPr>
              <w:t>Status</w:t>
            </w:r>
          </w:p>
        </w:tc>
      </w:tr>
      <w:tr>
        <w:trPr>
          <w:cantSplit/>
        </w:trP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  <w:shd w:fill="F7F9FB"/>
          </w:tcPr>
          <w:p>
            <w:r>
              <w:rPr>
                <w:sz w:val="13"/>
              </w:rPr>
            </w:r>
          </w:p>
        </w:tc>
      </w:tr>
      <w:tr>
        <w:trPr>
          <w:cantSplit/>
        </w:trPr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  <w:tc>
          <w:tcPr>
            <w:tcW w:type="dxa" w:w="115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3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Scope expressly authorized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Uses, populations or contexts expressly excluded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17365D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FFFFFF"/>
                <w:sz w:val="17"/>
              </w:rPr>
              <w:t>What would change this decision?</w:t>
            </w:r>
          </w:p>
        </w:tc>
      </w:tr>
      <w:tr>
        <w:tc>
          <w:tcPr>
            <w:tcW w:type="dxa" w:w="9994"/>
            <w:shd w:fill="FAFAFA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/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  <w:p>
            <w:r>
              <w:t>________________________________________________________________________________</w:t>
            </w:r>
          </w:p>
        </w:tc>
      </w:tr>
    </w:tbl>
    <w:p>
      <w:pPr>
        <w:pStyle w:val="Heading2"/>
      </w:pPr>
      <w:r>
        <w:t>Completion check</w:t>
      </w:r>
    </w:p>
    <w:p>
      <w:pPr>
        <w:pStyle w:val="ListBullet"/>
      </w:pPr>
      <w:r>
        <w:t>☐ Every material claim is linked to evidence or explicitly marked as inference.</w:t>
      </w:r>
    </w:p>
    <w:p>
      <w:pPr>
        <w:pStyle w:val="ListBullet"/>
      </w:pPr>
      <w:r>
        <w:t>☐ Every RED and UNKNOWN item has been resolved or blocks PROCEED.</w:t>
      </w:r>
    </w:p>
    <w:p>
      <w:pPr>
        <w:pStyle w:val="ListBullet"/>
      </w:pPr>
      <w:r>
        <w:t>☐ The affected population and distributional effects are recorded.</w:t>
      </w:r>
    </w:p>
    <w:p>
      <w:pPr>
        <w:pStyle w:val="ListBullet"/>
      </w:pPr>
      <w:r>
        <w:t>☐ Non-AI alternatives and the status quo were compared.</w:t>
      </w:r>
    </w:p>
    <w:p>
      <w:pPr>
        <w:pStyle w:val="ListBullet"/>
      </w:pPr>
      <w:r>
        <w:t>☐ Success, escalation, review and stopping rules are measurable.</w:t>
      </w:r>
    </w:p>
    <w:p>
      <w:pPr>
        <w:pStyle w:val="ListBullet"/>
      </w:pPr>
      <w:r>
        <w:t>☐ Accountable, monitoring, escalation and retirement owners are named.</w:t>
      </w:r>
    </w:p>
    <w:p>
      <w:pPr>
        <w:pStyle w:val="ListBullet"/>
      </w:pPr>
      <w:r>
        <w:t>☐ Conditions have owners, dates and acceptance tests.</w:t>
      </w:r>
    </w:p>
    <w:p>
      <w:pPr>
        <w:pStyle w:val="ListBullet"/>
      </w:pPr>
      <w:r>
        <w:t>☐ The signed decision is retained with its evidence snapshot.</w:t>
      </w:r>
    </w:p>
    <w:p>
      <w:pPr>
        <w:pStyle w:val="Heading2"/>
      </w:pPr>
      <w:r>
        <w:t>Version record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00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Version</w:t>
            </w:r>
          </w:p>
        </w:tc>
        <w:tc>
          <w:tcPr>
            <w:tcW w:type="dxa" w:w="1656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  <w:tc>
          <w:tcPr>
            <w:tcW w:type="dxa" w:w="2448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5040"/>
            <w:shd w:fill="17365D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5"/>
              </w:rPr>
              <w:t>Change</w:t>
            </w:r>
          </w:p>
        </w:tc>
      </w:tr>
      <w:tr>
        <w:trPr>
          <w:cantSplit/>
        </w:trPr>
        <w:tc>
          <w:tcPr>
            <w:tcW w:type="dxa" w:w="100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0.1</w:t>
            </w:r>
          </w:p>
        </w:tc>
        <w:tc>
          <w:tcPr>
            <w:tcW w:type="dxa" w:w="16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5 September 2026</w:t>
            </w:r>
          </w:p>
        </w:tc>
        <w:tc>
          <w:tcPr>
            <w:tcW w:type="dxa" w:w="24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Offline draft under G2</w:t>
            </w:r>
          </w:p>
        </w:tc>
        <w:tc>
          <w:tcPr>
            <w:tcW w:type="dxa" w:w="504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sz w:val="15"/>
              </w:rPr>
              <w:t>First writable Decision Gate aligned field-for-field to EP-M01-A01 and accepted blueprint EP-M01-BP-001 v0.1.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1F4E79"/>
        <w:sz w:val="14"/>
      </w:rPr>
      <w:t xml:space="preserve">OFFLINE DEVELOPMENT DRAFT • GATES G0–G3 ONLY     |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b/>
        <w:color w:val="1F4E79"/>
        <w:sz w:val="15"/>
      </w:rPr>
      <w:t>SRAI EXECUTIVE PATHWAY  |  EP-M01-A10  |  v0.1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200" w:after="100"/>
    </w:pPr>
    <w:rPr>
      <w:rFonts w:asciiTheme="majorHAnsi" w:eastAsiaTheme="majorEastAsia" w:hAnsiTheme="majorHAnsi" w:cstheme="majorBidi" w:ascii="Arial" w:hAnsi="Arial"/>
      <w:b/>
      <w:i/>
      <w:iCs/>
      <w:color w:val="1F4E79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20" w:after="120"/>
      <w:ind w:left="288"/>
    </w:pPr>
    <w:rPr>
      <w:rFonts w:ascii="Arial" w:hAnsi="Arial"/>
      <w:b/>
      <w:color w:val="1F4E79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